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40" w:type="dxa"/>
        <w:tblInd w:w="0" w:type="dxa"/>
        <w:tblBorders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6142"/>
      </w:tblGrid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pStyle w:val="2"/>
              <w:bidi w:val="0"/>
              <w:rPr/>
            </w:pPr>
            <w:r>
              <w:rPr>
                <w:lang w:val="en-US" w:eastAsia="zh-CN"/>
              </w:rPr>
              <w:t>Specification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*Product Name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128 Elements Waterproof Dustproof Cow Fetal Reproductive Disease Wireless USB Ultrasound Scanner Veterinary Ultrasound Machine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*Application scenarios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Engineered for all aspects of bovine and equine reproductive imaging, as well as for equine tendon imaging.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*Elements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128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*Imaging Modes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B, M, Color, Power, PW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*Gray scale levels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256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*Optional Probes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Rectal linear probe /Rectal convex probe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*Transducer frequency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Rectal linear probe: 6.0-11.0MHz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Rectal convex probe: 2.0-5.0MHz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*Digital Technology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Tissue harmonic Imaging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Tissue Specific Imaging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Panoramic focusing technology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Frequency compounding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Space compounding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Wide-angle imaging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Real-time Dynamic Aperture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*Viewing device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Tablet, Phone, Goggles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*Ultrasound platform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Android, IOS(reserved), Windows(reserved)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*Scanning depth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up to 310mm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*Cine loop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400 frames movie playback stored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*Waterproof level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IP67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bookmarkStart w:id="0" w:name="_GoBack" w:colFirst="0" w:colLast="1"/>
            <w:r>
              <w:rPr>
                <w:lang w:val="en-US" w:eastAsia="zh-CN"/>
              </w:rPr>
              <w:t>*Connection Type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 WIFI, USB Type-C</w:t>
            </w:r>
          </w:p>
        </w:tc>
      </w:tr>
      <w:bookmarkEnd w:id="0"/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*Product Size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190x90x60 mm</w:t>
            </w:r>
          </w:p>
        </w:tc>
      </w:tr>
      <w:tr>
        <w:tblPrEx>
          <w:tblBorders>
            <w:top w:val="single" w:color="E5E7EB" w:sz="2" w:space="0"/>
            <w:left w:val="single" w:color="E5E7EB" w:sz="2" w:space="0"/>
            <w:bottom w:val="single" w:color="E5E7EB" w:sz="2" w:space="0"/>
            <w:right w:val="single" w:color="E5E7EB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0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*Weight</w:t>
            </w:r>
          </w:p>
        </w:tc>
        <w:tc>
          <w:tcPr>
            <w:tcW w:w="614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vAlign w:val="top"/>
          </w:tcPr>
          <w:p>
            <w:pPr>
              <w:rPr/>
            </w:pPr>
            <w:r>
              <w:rPr>
                <w:lang w:val="en-US" w:eastAsia="zh-CN"/>
              </w:rPr>
              <w:t>630g (With probe)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YzY5ZjYzYWMzYzZmMmY1MWNkMjA0ZTE0ZDEzNjUifQ=="/>
  </w:docVars>
  <w:rsids>
    <w:rsidRoot w:val="67E671A0"/>
    <w:rsid w:val="67E6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2023-12-01T08:36:00Z</dcterms:created>
  <dc:creator>杨丽娜</dc:creator>
  <cp:lastModifiedBy>杨丽娜</cp:lastModifiedBy>
  <dcterms:modified xsi:type="dcterms:W3CDTF">2023-12-01T08:59:11Z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58C2672D75C1494FB433F0DE9D49DADB_11</vt:lpwstr>
  </property>
</Properties>
</file>