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sz w:val="56"/>
          <w:szCs w:val="56"/>
        </w:rPr>
      </w:pPr>
      <w:r>
        <w:rPr>
          <w:rFonts w:hint="eastAsia"/>
          <w:b/>
          <w:bCs/>
          <w:sz w:val="56"/>
          <w:szCs w:val="56"/>
        </w:rPr>
        <w:t>China auto parts market prospects and investment opportunities</w:t>
      </w:r>
    </w:p>
    <w:p>
      <w:pPr>
        <w:jc w:val="left"/>
        <w:rPr>
          <w:rFonts w:hint="eastAsia"/>
          <w:b/>
          <w:bCs/>
          <w:sz w:val="56"/>
          <w:szCs w:val="56"/>
        </w:rPr>
      </w:pPr>
    </w:p>
    <w:p>
      <w:pPr>
        <w:rPr>
          <w:rFonts w:hint="eastAsia"/>
        </w:rPr>
      </w:pPr>
    </w:p>
    <w:p>
      <w:pPr>
        <w:keepNext w:val="0"/>
        <w:keepLines w:val="0"/>
        <w:widowControl/>
        <w:suppressLineNumbers w:val="0"/>
        <w:shd w:val="clear" w:fill="FFFFFF"/>
        <w:ind w:left="0" w:firstLine="0"/>
        <w:jc w:val="left"/>
      </w:pPr>
      <w:r>
        <w:rPr>
          <w:rStyle w:val="4"/>
          <w:rFonts w:hint="eastAsia" w:ascii="PingFang SC" w:hAnsi="PingFang SC" w:eastAsia="PingFang SC" w:cs="PingFang SC"/>
          <w:b/>
          <w:bCs/>
          <w:i w:val="0"/>
          <w:iCs w:val="0"/>
          <w:caps w:val="0"/>
          <w:spacing w:val="0"/>
          <w:kern w:val="0"/>
          <w:sz w:val="32"/>
          <w:szCs w:val="32"/>
          <w:shd w:val="clear" w:fill="FFFFFF"/>
          <w:lang w:val="en-US" w:eastAsia="zh-CN" w:bidi="ar"/>
        </w:rPr>
        <w:t>Market Prospects</w:t>
      </w:r>
      <w:r>
        <w:rPr>
          <w:rFonts w:hint="eastAsia" w:ascii="PingFang SC" w:hAnsi="PingFang SC" w:eastAsia="PingFang SC" w:cs="PingFang SC"/>
          <w:i w:val="0"/>
          <w:iCs w:val="0"/>
          <w:caps w:val="0"/>
          <w:spacing w:val="0"/>
          <w:kern w:val="0"/>
          <w:sz w:val="32"/>
          <w:szCs w:val="32"/>
          <w:shd w:val="clear" w:fill="FFFFFF"/>
          <w:lang w:val="en-US" w:eastAsia="zh-CN" w:bidi="ar"/>
        </w:rPr>
        <w:t>:</w:t>
      </w:r>
    </w:p>
    <w:p>
      <w:pPr>
        <w:keepNext w:val="0"/>
        <w:keepLines w:val="0"/>
        <w:widowControl/>
        <w:numPr>
          <w:ilvl w:val="0"/>
          <w:numId w:val="1"/>
        </w:numPr>
        <w:suppressLineNumbers w:val="0"/>
        <w:pBdr>
          <w:left w:val="none" w:color="auto" w:sz="0" w:space="0"/>
        </w:pBdr>
        <w:spacing w:before="0" w:beforeAutospacing="1" w:after="0" w:afterAutospacing="1"/>
        <w:ind w:left="720" w:hanging="360"/>
      </w:pPr>
      <w:r>
        <w:rPr>
          <w:rStyle w:val="4"/>
          <w:rFonts w:hint="eastAsia" w:ascii="PingFang SC" w:hAnsi="PingFang SC" w:eastAsia="PingFang SC" w:cs="PingFang SC"/>
          <w:b/>
          <w:bCs/>
          <w:i w:val="0"/>
          <w:iCs w:val="0"/>
          <w:caps w:val="0"/>
          <w:color w:val="222222"/>
          <w:spacing w:val="0"/>
          <w:sz w:val="32"/>
          <w:szCs w:val="32"/>
          <w:bdr w:val="none" w:color="auto" w:sz="0" w:space="0"/>
          <w:shd w:val="clear" w:fill="FFFFFF"/>
        </w:rPr>
        <w:t>Growth of Market Scale</w:t>
      </w:r>
      <w:r>
        <w:rPr>
          <w:rFonts w:hint="eastAsia" w:ascii="PingFang SC" w:hAnsi="PingFang SC" w:eastAsia="PingFang SC" w:cs="PingFang SC"/>
          <w:i w:val="0"/>
          <w:iCs w:val="0"/>
          <w:caps w:val="0"/>
          <w:color w:val="222222"/>
          <w:spacing w:val="0"/>
          <w:sz w:val="32"/>
          <w:szCs w:val="32"/>
          <w:bdr w:val="none" w:color="auto" w:sz="0" w:space="0"/>
          <w:shd w:val="clear" w:fill="FFFFFF"/>
        </w:rPr>
        <w:t>: With the continuous improvement of domestic auto parts manufacturing levels and the rapid development of new energy vehicles, the operating income of the auto parts industry has also grown rapidly. In 2021, the revenue of Chinese auto parts manufacturing enterprises was 4,066.8 billion yuan, with a year-on-year growth of 12%. In 2022, it was approximately 4,195.3 billion yuan. It is expected to further increase to 4,408.6 billion yuan in 2023.</w:t>
      </w:r>
    </w:p>
    <w:p>
      <w:pPr>
        <w:keepNext w:val="0"/>
        <w:keepLines w:val="0"/>
        <w:widowControl/>
        <w:numPr>
          <w:ilvl w:val="0"/>
          <w:numId w:val="1"/>
        </w:numPr>
        <w:suppressLineNumbers w:val="0"/>
        <w:pBdr>
          <w:left w:val="none" w:color="auto" w:sz="0" w:space="0"/>
        </w:pBdr>
        <w:spacing w:before="160" w:beforeAutospacing="0" w:after="0" w:afterAutospacing="1"/>
        <w:ind w:left="720" w:hanging="360"/>
      </w:pPr>
      <w:r>
        <w:rPr>
          <w:rStyle w:val="4"/>
          <w:rFonts w:hint="eastAsia" w:ascii="PingFang SC" w:hAnsi="PingFang SC" w:eastAsia="PingFang SC" w:cs="PingFang SC"/>
          <w:b/>
          <w:bCs/>
          <w:i w:val="0"/>
          <w:iCs w:val="0"/>
          <w:caps w:val="0"/>
          <w:color w:val="222222"/>
          <w:spacing w:val="0"/>
          <w:sz w:val="32"/>
          <w:szCs w:val="32"/>
          <w:bdr w:val="none" w:color="auto" w:sz="0" w:space="0"/>
          <w:shd w:val="clear" w:fill="FFFFFF"/>
        </w:rPr>
        <w:t>Development Trends of Lightweight, Electronic, Integrated and Modular</w:t>
      </w:r>
      <w:r>
        <w:rPr>
          <w:rFonts w:hint="eastAsia" w:ascii="PingFang SC" w:hAnsi="PingFang SC" w:eastAsia="PingFang SC" w:cs="PingFang SC"/>
          <w:i w:val="0"/>
          <w:iCs w:val="0"/>
          <w:caps w:val="0"/>
          <w:color w:val="222222"/>
          <w:spacing w:val="0"/>
          <w:sz w:val="32"/>
          <w:szCs w:val="32"/>
          <w:bdr w:val="none" w:color="auto" w:sz="0" w:space="0"/>
          <w:shd w:val="clear" w:fill="FFFFFF"/>
        </w:rPr>
        <w:t>: The lightweight, electronic, integrated and modular development of future vehicles is an important trend in the auto parts industry. The extensive application of aluminum castings, aluminum-magnesium alloy parts, automotive plastic parts, electronics and information technology in auto parts will be an important trend.</w:t>
      </w:r>
    </w:p>
    <w:p>
      <w:pPr>
        <w:keepNext w:val="0"/>
        <w:keepLines w:val="0"/>
        <w:widowControl/>
        <w:numPr>
          <w:ilvl w:val="0"/>
          <w:numId w:val="1"/>
        </w:numPr>
        <w:suppressLineNumbers w:val="0"/>
        <w:pBdr>
          <w:left w:val="none" w:color="auto" w:sz="0" w:space="0"/>
        </w:pBdr>
        <w:spacing w:before="160" w:beforeAutospacing="0" w:after="0" w:afterAutospacing="1"/>
        <w:ind w:left="720" w:hanging="360"/>
      </w:pPr>
      <w:r>
        <w:rPr>
          <w:rStyle w:val="4"/>
          <w:rFonts w:hint="eastAsia" w:ascii="PingFang SC" w:hAnsi="PingFang SC" w:eastAsia="PingFang SC" w:cs="PingFang SC"/>
          <w:b/>
          <w:bCs/>
          <w:i w:val="0"/>
          <w:iCs w:val="0"/>
          <w:caps w:val="0"/>
          <w:color w:val="222222"/>
          <w:spacing w:val="0"/>
          <w:sz w:val="32"/>
          <w:szCs w:val="32"/>
          <w:bdr w:val="none" w:color="auto" w:sz="0" w:space="0"/>
          <w:shd w:val="clear" w:fill="FFFFFF"/>
        </w:rPr>
        <w:t>Accelerated Domestic Substitution</w:t>
      </w:r>
      <w:r>
        <w:rPr>
          <w:rFonts w:hint="eastAsia" w:ascii="PingFang SC" w:hAnsi="PingFang SC" w:eastAsia="PingFang SC" w:cs="PingFang SC"/>
          <w:i w:val="0"/>
          <w:iCs w:val="0"/>
          <w:caps w:val="0"/>
          <w:color w:val="222222"/>
          <w:spacing w:val="0"/>
          <w:sz w:val="32"/>
          <w:szCs w:val="32"/>
          <w:bdr w:val="none" w:color="auto" w:sz="0" w:space="0"/>
          <w:shd w:val="clear" w:fill="FFFFFF"/>
        </w:rPr>
        <w:t>: In the transformation of automotive electrification and intelligence, China's automotive industry has seized the opportunities of the times. The domestic substitution of self-owned brands for joint venture brands is expected to accelerate in 2024 and gradually proceed from the mid-range market of RMB 100,000 - 200,000 to the high-end market of over RMB 200,000. The domestic auto parts market also welcomes more development opportunities.</w:t>
      </w:r>
    </w:p>
    <w:p>
      <w:pPr>
        <w:keepNext w:val="0"/>
        <w:keepLines w:val="0"/>
        <w:widowControl/>
        <w:numPr>
          <w:ilvl w:val="0"/>
          <w:numId w:val="1"/>
        </w:numPr>
        <w:suppressLineNumbers w:val="0"/>
        <w:pBdr>
          <w:left w:val="none" w:color="auto" w:sz="0" w:space="0"/>
        </w:pBdr>
        <w:spacing w:before="160" w:beforeAutospacing="0" w:after="0" w:afterAutospacing="1"/>
        <w:ind w:left="720" w:hanging="360"/>
      </w:pPr>
      <w:r>
        <w:rPr>
          <w:rStyle w:val="4"/>
          <w:rFonts w:hint="eastAsia" w:ascii="PingFang SC" w:hAnsi="PingFang SC" w:eastAsia="PingFang SC" w:cs="PingFang SC"/>
          <w:b/>
          <w:bCs/>
          <w:i w:val="0"/>
          <w:iCs w:val="0"/>
          <w:caps w:val="0"/>
          <w:color w:val="222222"/>
          <w:spacing w:val="0"/>
          <w:sz w:val="32"/>
          <w:szCs w:val="32"/>
          <w:bdr w:val="none" w:color="auto" w:sz="0" w:space="0"/>
          <w:shd w:val="clear" w:fill="FFFFFF"/>
        </w:rPr>
        <w:t>Broad Export Prospects</w:t>
      </w:r>
      <w:r>
        <w:rPr>
          <w:rFonts w:hint="eastAsia" w:ascii="PingFang SC" w:hAnsi="PingFang SC" w:eastAsia="PingFang SC" w:cs="PingFang SC"/>
          <w:i w:val="0"/>
          <w:iCs w:val="0"/>
          <w:caps w:val="0"/>
          <w:color w:val="222222"/>
          <w:spacing w:val="0"/>
          <w:sz w:val="32"/>
          <w:szCs w:val="32"/>
          <w:bdr w:val="none" w:color="auto" w:sz="0" w:space="0"/>
          <w:shd w:val="clear" w:fill="FFFFFF"/>
        </w:rPr>
        <w:t>: China has now developed into the world's largest exporter of automobiles. According to data from the General Administration of Customs, in 2023, China's automobile export volume was 5.221 million units, with an export growth rate of 57.4%.</w:t>
      </w:r>
    </w:p>
    <w:p>
      <w:pPr>
        <w:keepNext w:val="0"/>
        <w:keepLines w:val="0"/>
        <w:widowControl/>
        <w:suppressLineNumbers w:val="0"/>
        <w:jc w:val="left"/>
      </w:pPr>
    </w:p>
    <w:p>
      <w:pPr>
        <w:keepNext w:val="0"/>
        <w:keepLines w:val="0"/>
        <w:widowControl/>
        <w:suppressLineNumbers w:val="0"/>
        <w:shd w:val="clear" w:fill="FFFFFF"/>
        <w:ind w:left="0" w:firstLine="0"/>
        <w:jc w:val="left"/>
      </w:pPr>
      <w:r>
        <w:rPr>
          <w:rStyle w:val="4"/>
          <w:rFonts w:hint="eastAsia" w:ascii="PingFang SC" w:hAnsi="PingFang SC" w:eastAsia="PingFang SC" w:cs="PingFang SC"/>
          <w:b/>
          <w:bCs/>
          <w:i w:val="0"/>
          <w:iCs w:val="0"/>
          <w:caps w:val="0"/>
          <w:spacing w:val="0"/>
          <w:kern w:val="0"/>
          <w:sz w:val="32"/>
          <w:szCs w:val="32"/>
          <w:shd w:val="clear" w:fill="FFFFFF"/>
          <w:lang w:val="en-US" w:eastAsia="zh-CN" w:bidi="ar"/>
        </w:rPr>
        <w:t>Investment Opportunities</w:t>
      </w:r>
      <w:r>
        <w:rPr>
          <w:rFonts w:hint="eastAsia" w:ascii="PingFang SC" w:hAnsi="PingFang SC" w:eastAsia="PingFang SC" w:cs="PingFang SC"/>
          <w:i w:val="0"/>
          <w:iCs w:val="0"/>
          <w:caps w:val="0"/>
          <w:spacing w:val="0"/>
          <w:kern w:val="0"/>
          <w:sz w:val="32"/>
          <w:szCs w:val="32"/>
          <w:shd w:val="clear" w:fill="FFFFFF"/>
          <w:lang w:val="en-US" w:eastAsia="zh-CN" w:bidi="ar"/>
        </w:rPr>
        <w:t>:</w:t>
      </w:r>
      <w:bookmarkStart w:id="0" w:name="_GoBack"/>
      <w:bookmarkEnd w:id="0"/>
    </w:p>
    <w:p>
      <w:pPr>
        <w:keepNext w:val="0"/>
        <w:keepLines w:val="0"/>
        <w:widowControl/>
        <w:numPr>
          <w:ilvl w:val="0"/>
          <w:numId w:val="2"/>
        </w:numPr>
        <w:suppressLineNumbers w:val="0"/>
        <w:pBdr>
          <w:left w:val="none" w:color="auto" w:sz="0" w:space="0"/>
        </w:pBdr>
        <w:spacing w:before="0" w:beforeAutospacing="1" w:after="0" w:afterAutospacing="1"/>
        <w:ind w:left="720" w:hanging="360"/>
      </w:pPr>
      <w:r>
        <w:rPr>
          <w:rStyle w:val="4"/>
          <w:rFonts w:hint="eastAsia" w:ascii="PingFang SC" w:hAnsi="PingFang SC" w:eastAsia="PingFang SC" w:cs="PingFang SC"/>
          <w:b/>
          <w:bCs/>
          <w:i w:val="0"/>
          <w:iCs w:val="0"/>
          <w:caps w:val="0"/>
          <w:color w:val="222222"/>
          <w:spacing w:val="0"/>
          <w:sz w:val="32"/>
          <w:szCs w:val="32"/>
          <w:bdr w:val="none" w:color="auto" w:sz="0" w:space="0"/>
          <w:shd w:val="clear" w:fill="FFFFFF"/>
        </w:rPr>
        <w:t>New Energy Vehicle Field</w:t>
      </w:r>
      <w:r>
        <w:rPr>
          <w:rFonts w:hint="eastAsia" w:ascii="PingFang SC" w:hAnsi="PingFang SC" w:eastAsia="PingFang SC" w:cs="PingFang SC"/>
          <w:i w:val="0"/>
          <w:iCs w:val="0"/>
          <w:caps w:val="0"/>
          <w:color w:val="222222"/>
          <w:spacing w:val="0"/>
          <w:sz w:val="32"/>
          <w:szCs w:val="32"/>
          <w:bdr w:val="none" w:color="auto" w:sz="0" w:space="0"/>
          <w:shd w:val="clear" w:fill="FFFFFF"/>
        </w:rPr>
        <w:t>: Changes in the internal structure of new energy vehicles bring new incremental markets to parts enterprises, such as the integrated die-casting technology to solve the lightweight problem of electric vehicles, high-end intelligent seats, air suspension, etc. Investment opportunities brought by the成倍 increase in the cost of thermal management systems in electric vehicles, more and larger screens in electric vehicles, and the upgrade of vehicle light sources from halogen to LED and then to laser.</w:t>
      </w:r>
    </w:p>
    <w:p>
      <w:pPr>
        <w:keepNext w:val="0"/>
        <w:keepLines w:val="0"/>
        <w:widowControl/>
        <w:numPr>
          <w:ilvl w:val="0"/>
          <w:numId w:val="2"/>
        </w:numPr>
        <w:suppressLineNumbers w:val="0"/>
        <w:pBdr>
          <w:left w:val="none" w:color="auto" w:sz="0" w:space="0"/>
        </w:pBdr>
        <w:spacing w:before="160" w:beforeAutospacing="0" w:after="0" w:afterAutospacing="1"/>
        <w:ind w:left="720" w:hanging="360"/>
      </w:pPr>
      <w:r>
        <w:rPr>
          <w:rStyle w:val="4"/>
          <w:rFonts w:hint="eastAsia" w:ascii="PingFang SC" w:hAnsi="PingFang SC" w:eastAsia="PingFang SC" w:cs="PingFang SC"/>
          <w:b/>
          <w:bCs/>
          <w:i w:val="0"/>
          <w:iCs w:val="0"/>
          <w:caps w:val="0"/>
          <w:color w:val="222222"/>
          <w:spacing w:val="0"/>
          <w:sz w:val="32"/>
          <w:szCs w:val="32"/>
          <w:bdr w:val="none" w:color="auto" w:sz="0" w:space="0"/>
          <w:shd w:val="clear" w:fill="FFFFFF"/>
        </w:rPr>
        <w:t>Intelligent Field</w:t>
      </w:r>
      <w:r>
        <w:rPr>
          <w:rFonts w:hint="eastAsia" w:ascii="PingFang SC" w:hAnsi="PingFang SC" w:eastAsia="PingFang SC" w:cs="PingFang SC"/>
          <w:i w:val="0"/>
          <w:iCs w:val="0"/>
          <w:caps w:val="0"/>
          <w:color w:val="222222"/>
          <w:spacing w:val="0"/>
          <w:sz w:val="32"/>
          <w:szCs w:val="32"/>
          <w:bdr w:val="none" w:color="auto" w:sz="0" w:space="0"/>
          <w:shd w:val="clear" w:fill="FFFFFF"/>
        </w:rPr>
        <w:t>: In the aspect of intelligence, the vehicle's demand for higher computing power, the significant increase in the number of cameras and lidars required for unmanned driving, and the continuous upgrading and optimization of adaptive software are all investment opportunities.</w:t>
      </w:r>
    </w:p>
    <w:p>
      <w:pPr>
        <w:keepNext w:val="0"/>
        <w:keepLines w:val="0"/>
        <w:widowControl/>
        <w:numPr>
          <w:ilvl w:val="0"/>
          <w:numId w:val="2"/>
        </w:numPr>
        <w:suppressLineNumbers w:val="0"/>
        <w:pBdr>
          <w:left w:val="none" w:color="auto" w:sz="0" w:space="0"/>
        </w:pBdr>
        <w:spacing w:before="160" w:beforeAutospacing="0" w:after="0" w:afterAutospacing="1"/>
        <w:ind w:left="720" w:hanging="360"/>
      </w:pPr>
      <w:r>
        <w:rPr>
          <w:rStyle w:val="4"/>
          <w:rFonts w:hint="eastAsia" w:ascii="PingFang SC" w:hAnsi="PingFang SC" w:eastAsia="PingFang SC" w:cs="PingFang SC"/>
          <w:b/>
          <w:bCs/>
          <w:i w:val="0"/>
          <w:iCs w:val="0"/>
          <w:caps w:val="0"/>
          <w:color w:val="222222"/>
          <w:spacing w:val="0"/>
          <w:sz w:val="32"/>
          <w:szCs w:val="32"/>
          <w:bdr w:val="none" w:color="auto" w:sz="0" w:space="0"/>
          <w:shd w:val="clear" w:fill="FFFFFF"/>
        </w:rPr>
        <w:t>Core Parts Field</w:t>
      </w:r>
      <w:r>
        <w:rPr>
          <w:rFonts w:hint="eastAsia" w:ascii="PingFang SC" w:hAnsi="PingFang SC" w:eastAsia="PingFang SC" w:cs="PingFang SC"/>
          <w:i w:val="0"/>
          <w:iCs w:val="0"/>
          <w:caps w:val="0"/>
          <w:color w:val="222222"/>
          <w:spacing w:val="0"/>
          <w:sz w:val="32"/>
          <w:szCs w:val="32"/>
          <w:bdr w:val="none" w:color="auto" w:sz="0" w:space="0"/>
          <w:shd w:val="clear" w:fill="FFFFFF"/>
        </w:rPr>
        <w:t>: The electronization of auto parts will become a new development direction in the future. Chip technology will become the future development goal and direction of the core technology of auto parts, such as sensor chips and communication chips.</w:t>
      </w:r>
    </w:p>
    <w:p>
      <w:pPr>
        <w:keepNext w:val="0"/>
        <w:keepLines w:val="0"/>
        <w:widowControl/>
        <w:numPr>
          <w:ilvl w:val="0"/>
          <w:numId w:val="2"/>
        </w:numPr>
        <w:suppressLineNumbers w:val="0"/>
        <w:pBdr>
          <w:left w:val="none" w:color="auto" w:sz="0" w:space="0"/>
        </w:pBdr>
        <w:spacing w:before="160" w:beforeAutospacing="0" w:after="0" w:afterAutospacing="1"/>
        <w:ind w:left="720" w:hanging="360"/>
      </w:pPr>
      <w:r>
        <w:rPr>
          <w:rStyle w:val="4"/>
          <w:rFonts w:hint="eastAsia" w:ascii="PingFang SC" w:hAnsi="PingFang SC" w:eastAsia="PingFang SC" w:cs="PingFang SC"/>
          <w:b/>
          <w:bCs/>
          <w:i w:val="0"/>
          <w:iCs w:val="0"/>
          <w:caps w:val="0"/>
          <w:color w:val="222222"/>
          <w:spacing w:val="0"/>
          <w:sz w:val="32"/>
          <w:szCs w:val="32"/>
          <w:bdr w:val="none" w:color="auto" w:sz="0" w:space="0"/>
          <w:shd w:val="clear" w:fill="FFFFFF"/>
        </w:rPr>
        <w:t>Advantageous Enterprises</w:t>
      </w:r>
      <w:r>
        <w:rPr>
          <w:rFonts w:hint="eastAsia" w:ascii="PingFang SC" w:hAnsi="PingFang SC" w:eastAsia="PingFang SC" w:cs="PingFang SC"/>
          <w:i w:val="0"/>
          <w:iCs w:val="0"/>
          <w:caps w:val="0"/>
          <w:color w:val="222222"/>
          <w:spacing w:val="0"/>
          <w:sz w:val="32"/>
          <w:szCs w:val="32"/>
          <w:bdr w:val="none" w:color="auto" w:sz="0" w:space="0"/>
          <w:shd w:val="clear" w:fill="FFFFFF"/>
        </w:rPr>
        <w:t>: Focus on parts companies that have in-depth research and technological accumulation in the fields of intelligence and new energy, as well as leading enterprises with core competitiveness such as specialization, lightweight, electronic, integrated and modular.</w:t>
      </w:r>
    </w:p>
    <w:p>
      <w:pPr>
        <w:keepNext w:val="0"/>
        <w:keepLines w:val="0"/>
        <w:widowControl/>
        <w:suppressLineNumbers w:val="0"/>
        <w:jc w:val="left"/>
      </w:pPr>
    </w:p>
    <w:p>
      <w:pPr>
        <w:keepNext w:val="0"/>
        <w:keepLines w:val="0"/>
        <w:widowControl/>
        <w:suppressLineNumbers w:val="0"/>
        <w:shd w:val="clear" w:fill="FFFFFF"/>
        <w:ind w:left="0" w:firstLine="0"/>
        <w:jc w:val="left"/>
        <w:rPr>
          <w:rFonts w:hint="eastAsia" w:ascii="PingFang SC" w:hAnsi="PingFang SC" w:eastAsia="PingFang SC" w:cs="PingFang SC"/>
          <w:i w:val="0"/>
          <w:iCs w:val="0"/>
          <w:caps w:val="0"/>
          <w:spacing w:val="0"/>
          <w:sz w:val="32"/>
          <w:szCs w:val="32"/>
        </w:rPr>
      </w:pPr>
      <w:r>
        <w:rPr>
          <w:rFonts w:hint="eastAsia" w:ascii="PingFang SC" w:hAnsi="PingFang SC" w:eastAsia="PingFang SC" w:cs="PingFang SC"/>
          <w:i w:val="0"/>
          <w:iCs w:val="0"/>
          <w:caps w:val="0"/>
          <w:spacing w:val="0"/>
          <w:kern w:val="0"/>
          <w:sz w:val="32"/>
          <w:szCs w:val="32"/>
          <w:shd w:val="clear" w:fill="FFFFFF"/>
          <w:lang w:val="en-US" w:eastAsia="zh-CN" w:bidi="ar"/>
        </w:rPr>
        <w:t>The Chinese auto parts market has broad development prospects and investment opportunities, but at the same time, it also faces some challenges, such as fierce market competition, high pressure of technological innovation, international trade frictions, etc. Investors need to fully consider market risks and their own risk tolerance when making investment decisions.</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A13E1"/>
    <w:multiLevelType w:val="multilevel"/>
    <w:tmpl w:val="BCFA13E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FF620859"/>
    <w:multiLevelType w:val="multilevel"/>
    <w:tmpl w:val="FF62085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FF5881"/>
    <w:rsid w:val="F4FF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2024-07-22T16:16:00Z</dcterms:created>
  <dc:creator>Senter黄鹏</dc:creator>
  <cp:lastModifiedBy>Senter黄鹏</cp:lastModifiedBy>
  <dcterms:modified xsi:type="dcterms:W3CDTF">2024-07-22T16:17:50Z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F838E458752ABD926E159E66AFD09032_41</vt:lpwstr>
  </property>
</Properties>
</file>